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157E3" w14:textId="37B70DE6" w:rsidR="00EE6786" w:rsidRPr="00FC2C21" w:rsidRDefault="001C46AA">
      <w:pPr>
        <w:rPr>
          <w:b/>
          <w:bCs/>
          <w:sz w:val="24"/>
          <w:szCs w:val="24"/>
        </w:rPr>
      </w:pPr>
      <w:r w:rsidRPr="002B3522">
        <w:rPr>
          <w:noProof/>
          <w:lang w:eastAsia="en-GB"/>
        </w:rPr>
        <w:drawing>
          <wp:anchor distT="0" distB="0" distL="114300" distR="114300" simplePos="0" relativeHeight="251659264" behindDoc="1" locked="0" layoutInCell="1" allowOverlap="1" wp14:anchorId="7FB8C921" wp14:editId="304DEB69">
            <wp:simplePos x="0" y="0"/>
            <wp:positionH relativeFrom="column">
              <wp:posOffset>7635240</wp:posOffset>
            </wp:positionH>
            <wp:positionV relativeFrom="paragraph">
              <wp:posOffset>-388620</wp:posOffset>
            </wp:positionV>
            <wp:extent cx="1481933" cy="920750"/>
            <wp:effectExtent l="0" t="0" r="4445" b="0"/>
            <wp:wrapNone/>
            <wp:docPr id="2" name="Picture 2" descr="\\OPTIMUSPRIME\Desktop$\gracepp\Desktop\headed paper\zZYrleJLWYGb9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headed paper\zZYrleJLWYGb9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933"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51C" w:rsidRPr="00FC2C21">
        <w:rPr>
          <w:b/>
          <w:bCs/>
          <w:sz w:val="24"/>
          <w:szCs w:val="24"/>
        </w:rPr>
        <w:t>Equality Objectives 2023-2</w:t>
      </w:r>
      <w:r w:rsidR="00FC2C21" w:rsidRPr="00FC2C21">
        <w:rPr>
          <w:b/>
          <w:bCs/>
          <w:sz w:val="24"/>
          <w:szCs w:val="24"/>
        </w:rPr>
        <w:t>6</w:t>
      </w:r>
    </w:p>
    <w:p w14:paraId="2F720A29" w14:textId="0F56C720" w:rsidR="00BC551C" w:rsidRPr="00FC2C21" w:rsidRDefault="00BC551C">
      <w:pPr>
        <w:rPr>
          <w:b/>
          <w:bCs/>
        </w:rPr>
      </w:pPr>
      <w:r w:rsidRPr="00FC2C21">
        <w:rPr>
          <w:b/>
          <w:bCs/>
        </w:rPr>
        <w:t xml:space="preserve">School: </w:t>
      </w:r>
      <w:r w:rsidR="00395756" w:rsidRPr="00395756">
        <w:rPr>
          <w:bCs/>
        </w:rPr>
        <w:t>St Leonard’s CE Primary Academy</w:t>
      </w:r>
    </w:p>
    <w:p w14:paraId="54DAC989" w14:textId="0B1C1B0F" w:rsidR="00D16AC9" w:rsidRPr="00D16AC9" w:rsidRDefault="005C25F0" w:rsidP="005C25F0">
      <w:pPr>
        <w:rPr>
          <w:rFonts w:ascii="Arial" w:eastAsia="Times New Roman" w:hAnsi="Arial" w:cs="Arial"/>
          <w:color w:val="242424"/>
          <w:kern w:val="0"/>
          <w:sz w:val="24"/>
          <w:szCs w:val="24"/>
          <w:lang w:eastAsia="en-GB"/>
          <w14:ligatures w14:val="none"/>
        </w:rPr>
      </w:pPr>
      <w:r>
        <w:t xml:space="preserve">Through </w:t>
      </w:r>
      <w:r w:rsidR="00674100">
        <w:t>analysing</w:t>
      </w:r>
      <w:r>
        <w:t xml:space="preserve"> </w:t>
      </w:r>
      <w:r w:rsidR="00674100">
        <w:t xml:space="preserve">pupil data for relevant protected characteristics, the following objectives have been set: </w:t>
      </w:r>
    </w:p>
    <w:tbl>
      <w:tblPr>
        <w:tblStyle w:val="TableGrid"/>
        <w:tblW w:w="14312" w:type="dxa"/>
        <w:tblLook w:val="04A0" w:firstRow="1" w:lastRow="0" w:firstColumn="1" w:lastColumn="0" w:noHBand="0" w:noVBand="1"/>
      </w:tblPr>
      <w:tblGrid>
        <w:gridCol w:w="381"/>
        <w:gridCol w:w="1999"/>
        <w:gridCol w:w="1494"/>
        <w:gridCol w:w="1366"/>
        <w:gridCol w:w="3119"/>
        <w:gridCol w:w="3083"/>
        <w:gridCol w:w="2870"/>
      </w:tblGrid>
      <w:tr w:rsidR="00BC551C" w14:paraId="5C19EE6D" w14:textId="77777777" w:rsidTr="00FC2C21">
        <w:tc>
          <w:tcPr>
            <w:tcW w:w="381" w:type="dxa"/>
          </w:tcPr>
          <w:p w14:paraId="3D45A605" w14:textId="77777777" w:rsidR="00BC551C" w:rsidRDefault="00BC551C"/>
        </w:tc>
        <w:tc>
          <w:tcPr>
            <w:tcW w:w="1999" w:type="dxa"/>
            <w:shd w:val="clear" w:color="auto" w:fill="C5E0B3" w:themeFill="accent6" w:themeFillTint="66"/>
          </w:tcPr>
          <w:p w14:paraId="33FEE6C2" w14:textId="04AF308E" w:rsidR="00BC551C" w:rsidRDefault="00BC551C">
            <w:r>
              <w:t>Objective</w:t>
            </w:r>
          </w:p>
        </w:tc>
        <w:tc>
          <w:tcPr>
            <w:tcW w:w="1494" w:type="dxa"/>
            <w:shd w:val="clear" w:color="auto" w:fill="C5E0B3" w:themeFill="accent6" w:themeFillTint="66"/>
          </w:tcPr>
          <w:p w14:paraId="6E5960BE" w14:textId="754250EF" w:rsidR="00BC551C" w:rsidRDefault="00BC551C">
            <w:r>
              <w:t xml:space="preserve">Protected characteristics </w:t>
            </w:r>
          </w:p>
        </w:tc>
        <w:tc>
          <w:tcPr>
            <w:tcW w:w="1366" w:type="dxa"/>
            <w:shd w:val="clear" w:color="auto" w:fill="C5E0B3" w:themeFill="accent6" w:themeFillTint="66"/>
          </w:tcPr>
          <w:p w14:paraId="0C60DFE5" w14:textId="7123E9F4" w:rsidR="00BC551C" w:rsidRDefault="00BC551C">
            <w:r>
              <w:t>Target group</w:t>
            </w:r>
          </w:p>
        </w:tc>
        <w:tc>
          <w:tcPr>
            <w:tcW w:w="3119" w:type="dxa"/>
            <w:shd w:val="clear" w:color="auto" w:fill="C5E0B3" w:themeFill="accent6" w:themeFillTint="66"/>
          </w:tcPr>
          <w:p w14:paraId="54E76B41" w14:textId="7E4A886E" w:rsidR="00BC551C" w:rsidRDefault="00BC551C">
            <w:r>
              <w:t>Why</w:t>
            </w:r>
          </w:p>
        </w:tc>
        <w:tc>
          <w:tcPr>
            <w:tcW w:w="3083" w:type="dxa"/>
            <w:shd w:val="clear" w:color="auto" w:fill="C5E0B3" w:themeFill="accent6" w:themeFillTint="66"/>
          </w:tcPr>
          <w:p w14:paraId="4D0A8117" w14:textId="0D3C0E0C" w:rsidR="00BC551C" w:rsidRDefault="00BC551C">
            <w:r>
              <w:t>How it will be achieved</w:t>
            </w:r>
          </w:p>
        </w:tc>
        <w:tc>
          <w:tcPr>
            <w:tcW w:w="2870" w:type="dxa"/>
            <w:shd w:val="clear" w:color="auto" w:fill="C5E0B3" w:themeFill="accent6" w:themeFillTint="66"/>
          </w:tcPr>
          <w:p w14:paraId="27073F73" w14:textId="268216FC" w:rsidR="00BC551C" w:rsidRDefault="00BC551C">
            <w:r>
              <w:t>Intended outcome</w:t>
            </w:r>
          </w:p>
        </w:tc>
      </w:tr>
      <w:tr w:rsidR="00395756" w14:paraId="736F7A9D" w14:textId="77777777" w:rsidTr="001E1B59">
        <w:tc>
          <w:tcPr>
            <w:tcW w:w="381" w:type="dxa"/>
          </w:tcPr>
          <w:p w14:paraId="69DCA8A8" w14:textId="73E55C49" w:rsidR="00395756" w:rsidRDefault="00395756" w:rsidP="00395756">
            <w:r>
              <w:t>1</w:t>
            </w:r>
          </w:p>
        </w:tc>
        <w:tc>
          <w:tcPr>
            <w:tcW w:w="1999" w:type="dxa"/>
            <w:tcBorders>
              <w:top w:val="single" w:sz="6" w:space="0" w:color="auto"/>
              <w:left w:val="single" w:sz="6" w:space="0" w:color="auto"/>
              <w:bottom w:val="single" w:sz="6" w:space="0" w:color="auto"/>
              <w:right w:val="single" w:sz="6" w:space="0" w:color="auto"/>
            </w:tcBorders>
            <w:shd w:val="clear" w:color="auto" w:fill="auto"/>
          </w:tcPr>
          <w:p w14:paraId="513F25CC" w14:textId="08C22AEC" w:rsidR="00395756" w:rsidRDefault="00395756" w:rsidP="00395756">
            <w:r>
              <w:rPr>
                <w:rStyle w:val="normaltextrun"/>
                <w:rFonts w:ascii="Calibri" w:hAnsi="Calibri" w:cs="Calibri"/>
              </w:rPr>
              <w:t>To increase the percentage of SEND reaching the expected standard or above in reading and writing and maths.</w:t>
            </w:r>
            <w:r>
              <w:rPr>
                <w:rStyle w:val="eop"/>
                <w:rFonts w:ascii="Calibri" w:hAnsi="Calibri" w:cs="Calibri"/>
              </w:rPr>
              <w:t> </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5CDEC938" w14:textId="51E03108" w:rsidR="00395756" w:rsidRDefault="00395756" w:rsidP="00395756">
            <w:r>
              <w:rPr>
                <w:rStyle w:val="normaltextrun"/>
                <w:rFonts w:ascii="Calibri" w:hAnsi="Calibri" w:cs="Calibri"/>
              </w:rPr>
              <w:t xml:space="preserve">Disability/ SEND </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1608DFD4" w14:textId="724C13E2" w:rsidR="00395756" w:rsidRDefault="00395756" w:rsidP="00395756">
            <w:r>
              <w:rPr>
                <w:rStyle w:val="normaltextrun"/>
                <w:rFonts w:ascii="Calibri" w:hAnsi="Calibri" w:cs="Calibri"/>
              </w:rPr>
              <w:t xml:space="preserve">SEND </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E99EB1B" w14:textId="37977561" w:rsidR="00395756" w:rsidRDefault="00395756" w:rsidP="00395756">
            <w:r>
              <w:rPr>
                <w:rStyle w:val="normaltextrun"/>
                <w:rFonts w:ascii="Calibri" w:hAnsi="Calibri" w:cs="Calibri"/>
              </w:rPr>
              <w:t xml:space="preserve">Data demonstrates that this group are </w:t>
            </w:r>
            <w:r w:rsidR="001377F9">
              <w:rPr>
                <w:rStyle w:val="normaltextrun"/>
                <w:rFonts w:ascii="Calibri" w:hAnsi="Calibri" w:cs="Calibri"/>
              </w:rPr>
              <w:t>not reaching the expected standard in line with other pupils.</w:t>
            </w:r>
          </w:p>
        </w:tc>
        <w:tc>
          <w:tcPr>
            <w:tcW w:w="3083" w:type="dxa"/>
            <w:tcBorders>
              <w:top w:val="single" w:sz="6" w:space="0" w:color="auto"/>
              <w:left w:val="single" w:sz="6" w:space="0" w:color="auto"/>
              <w:bottom w:val="single" w:sz="6" w:space="0" w:color="auto"/>
              <w:right w:val="single" w:sz="6" w:space="0" w:color="auto"/>
            </w:tcBorders>
            <w:shd w:val="clear" w:color="auto" w:fill="auto"/>
          </w:tcPr>
          <w:p w14:paraId="1A6E5109" w14:textId="77777777" w:rsidR="004B28D1" w:rsidRPr="004B28D1" w:rsidRDefault="004B28D1" w:rsidP="004B28D1">
            <w:pPr>
              <w:pStyle w:val="NoSpacing"/>
              <w:rPr>
                <w:rFonts w:asciiTheme="minorHAnsi" w:hAnsiTheme="minorHAnsi" w:cstheme="minorHAnsi"/>
              </w:rPr>
            </w:pPr>
            <w:r w:rsidRPr="004B28D1">
              <w:rPr>
                <w:rFonts w:asciiTheme="minorHAnsi" w:hAnsiTheme="minorHAnsi" w:cstheme="minorHAnsi"/>
              </w:rPr>
              <w:t>To</w:t>
            </w:r>
            <w:r w:rsidRPr="004B28D1">
              <w:rPr>
                <w:rFonts w:asciiTheme="minorHAnsi" w:hAnsiTheme="minorHAnsi" w:cstheme="minorHAnsi"/>
                <w:spacing w:val="-17"/>
              </w:rPr>
              <w:t xml:space="preserve"> provide </w:t>
            </w:r>
            <w:r w:rsidRPr="004B28D1">
              <w:rPr>
                <w:rFonts w:asciiTheme="minorHAnsi" w:hAnsiTheme="minorHAnsi" w:cstheme="minorHAnsi"/>
              </w:rPr>
              <w:t>opportunities for focused group work to take place with a continuous input of quality first hand teaching and</w:t>
            </w:r>
            <w:r w:rsidRPr="004B28D1">
              <w:rPr>
                <w:rFonts w:asciiTheme="minorHAnsi" w:hAnsiTheme="minorHAnsi" w:cstheme="minorHAnsi"/>
                <w:spacing w:val="-11"/>
              </w:rPr>
              <w:t xml:space="preserve"> </w:t>
            </w:r>
            <w:r w:rsidRPr="004B28D1">
              <w:rPr>
                <w:rFonts w:asciiTheme="minorHAnsi" w:hAnsiTheme="minorHAnsi" w:cstheme="minorHAnsi"/>
              </w:rPr>
              <w:t>learning.</w:t>
            </w:r>
          </w:p>
          <w:p w14:paraId="15277627" w14:textId="77777777" w:rsidR="004B28D1" w:rsidRPr="004B28D1" w:rsidRDefault="004B28D1" w:rsidP="004B28D1">
            <w:pPr>
              <w:pStyle w:val="NoSpacing"/>
              <w:rPr>
                <w:rFonts w:asciiTheme="minorHAnsi" w:hAnsiTheme="minorHAnsi" w:cstheme="minorHAnsi"/>
              </w:rPr>
            </w:pPr>
          </w:p>
          <w:p w14:paraId="25EC6C45" w14:textId="77777777" w:rsidR="004B28D1" w:rsidRPr="004B28D1" w:rsidRDefault="004B28D1" w:rsidP="004B28D1">
            <w:pPr>
              <w:pStyle w:val="NoSpacing"/>
              <w:rPr>
                <w:rFonts w:asciiTheme="minorHAnsi" w:hAnsiTheme="minorHAnsi" w:cstheme="minorHAnsi"/>
                <w:bdr w:val="none" w:sz="0" w:space="0" w:color="auto" w:frame="1"/>
                <w:lang w:eastAsia="en-GB"/>
              </w:rPr>
            </w:pPr>
            <w:r w:rsidRPr="004B28D1">
              <w:rPr>
                <w:rFonts w:asciiTheme="minorHAnsi" w:hAnsiTheme="minorHAnsi" w:cstheme="minorHAnsi"/>
                <w:bdr w:val="none" w:sz="0" w:space="0" w:color="auto" w:frame="1"/>
                <w:lang w:eastAsia="en-GB"/>
              </w:rPr>
              <w:t>Embed the strategies used in the implementation of these subjects. (clearly defined learning journey, manageable steps, clear learning point, identification of misconceptions.)</w:t>
            </w:r>
          </w:p>
          <w:p w14:paraId="7A024C15" w14:textId="77777777" w:rsidR="004B28D1" w:rsidRPr="004B28D1" w:rsidRDefault="004B28D1" w:rsidP="004B28D1">
            <w:pPr>
              <w:pStyle w:val="NoSpacing"/>
              <w:ind w:left="720"/>
              <w:rPr>
                <w:rFonts w:asciiTheme="minorHAnsi" w:hAnsiTheme="minorHAnsi" w:cstheme="minorHAnsi"/>
                <w:bdr w:val="none" w:sz="0" w:space="0" w:color="auto" w:frame="1"/>
                <w:lang w:eastAsia="en-GB"/>
              </w:rPr>
            </w:pPr>
          </w:p>
          <w:p w14:paraId="71DD6F81" w14:textId="452DCA99" w:rsidR="00395756" w:rsidRDefault="004B28D1" w:rsidP="004B28D1">
            <w:r w:rsidRPr="004B28D1">
              <w:rPr>
                <w:rFonts w:cstheme="minorHAnsi"/>
                <w:bdr w:val="none" w:sz="0" w:space="0" w:color="auto" w:frame="1"/>
                <w:lang w:eastAsia="en-GB"/>
              </w:rPr>
              <w:t>Ensure knowledge and skills progression.</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570B9C13" w14:textId="14060052" w:rsidR="00395756" w:rsidRDefault="00395756" w:rsidP="00395756">
            <w:r>
              <w:rPr>
                <w:rStyle w:val="normaltextrun"/>
                <w:rFonts w:ascii="Calibri" w:hAnsi="Calibri" w:cs="Calibri"/>
              </w:rPr>
              <w:t xml:space="preserve">The percentage of </w:t>
            </w:r>
            <w:proofErr w:type="gramStart"/>
            <w:r w:rsidR="00C90BEE">
              <w:rPr>
                <w:rStyle w:val="normaltextrun"/>
                <w:rFonts w:ascii="Calibri" w:hAnsi="Calibri" w:cs="Calibri"/>
              </w:rPr>
              <w:t xml:space="preserve">SEND </w:t>
            </w:r>
            <w:r>
              <w:rPr>
                <w:rStyle w:val="normaltextrun"/>
                <w:rFonts w:ascii="Calibri" w:hAnsi="Calibri" w:cs="Calibri"/>
              </w:rPr>
              <w:t xml:space="preserve"> rea</w:t>
            </w:r>
            <w:r w:rsidR="004B28D1">
              <w:rPr>
                <w:rStyle w:val="normaltextrun"/>
                <w:rFonts w:ascii="Calibri" w:hAnsi="Calibri" w:cs="Calibri"/>
              </w:rPr>
              <w:t>ching</w:t>
            </w:r>
            <w:proofErr w:type="gramEnd"/>
            <w:r>
              <w:rPr>
                <w:rStyle w:val="normaltextrun"/>
                <w:rFonts w:ascii="Calibri" w:hAnsi="Calibri" w:cs="Calibri"/>
              </w:rPr>
              <w:t xml:space="preserve"> expected standard or above in reading and writing will increase in KS1 and KS2. </w:t>
            </w:r>
            <w:r>
              <w:rPr>
                <w:rStyle w:val="eop"/>
                <w:rFonts w:ascii="Calibri" w:hAnsi="Calibri" w:cs="Calibri"/>
              </w:rPr>
              <w:t> </w:t>
            </w:r>
          </w:p>
        </w:tc>
      </w:tr>
      <w:tr w:rsidR="00395756" w14:paraId="76CC90FE" w14:textId="77777777" w:rsidTr="00BC551C">
        <w:tc>
          <w:tcPr>
            <w:tcW w:w="381" w:type="dxa"/>
          </w:tcPr>
          <w:p w14:paraId="16BFC097" w14:textId="41126291" w:rsidR="00395756" w:rsidRDefault="00395756" w:rsidP="00395756">
            <w:r>
              <w:t>2</w:t>
            </w:r>
          </w:p>
        </w:tc>
        <w:tc>
          <w:tcPr>
            <w:tcW w:w="1999" w:type="dxa"/>
          </w:tcPr>
          <w:p w14:paraId="554C1587" w14:textId="54E4CEFC" w:rsidR="00395756" w:rsidRPr="00C90BEE" w:rsidRDefault="00C90BEE" w:rsidP="00C90BEE">
            <w:pPr>
              <w:ind w:left="30"/>
              <w:textAlignment w:val="baseline"/>
            </w:pPr>
            <w:r w:rsidRPr="00C90BEE">
              <w:rPr>
                <w:rFonts w:ascii="Calibri" w:eastAsia="Times New Roman" w:hAnsi="Calibri" w:cs="Calibri"/>
                <w:kern w:val="0"/>
                <w:lang w:eastAsia="en-GB"/>
                <w14:ligatures w14:val="none"/>
              </w:rPr>
              <w:t>To increase the percentage of girls reaching greater depth in rea</w:t>
            </w:r>
            <w:r w:rsidR="00395756" w:rsidRPr="00C90BEE">
              <w:rPr>
                <w:rFonts w:ascii="Calibri" w:eastAsia="Times New Roman" w:hAnsi="Calibri" w:cs="Calibri"/>
                <w:kern w:val="0"/>
                <w:lang w:eastAsia="en-GB"/>
                <w14:ligatures w14:val="none"/>
              </w:rPr>
              <w:t xml:space="preserve">ding, Writing and Maths </w:t>
            </w:r>
          </w:p>
        </w:tc>
        <w:tc>
          <w:tcPr>
            <w:tcW w:w="1494" w:type="dxa"/>
          </w:tcPr>
          <w:p w14:paraId="7680E609" w14:textId="0E708A33" w:rsidR="00395756" w:rsidRDefault="00C90BEE" w:rsidP="00395756">
            <w:r>
              <w:t>Gender</w:t>
            </w:r>
          </w:p>
        </w:tc>
        <w:tc>
          <w:tcPr>
            <w:tcW w:w="1366" w:type="dxa"/>
          </w:tcPr>
          <w:p w14:paraId="4E49E71A" w14:textId="22FBFE59" w:rsidR="00395756" w:rsidRDefault="00395756" w:rsidP="00395756">
            <w:r>
              <w:t>Girls</w:t>
            </w:r>
          </w:p>
        </w:tc>
        <w:tc>
          <w:tcPr>
            <w:tcW w:w="3119" w:type="dxa"/>
          </w:tcPr>
          <w:p w14:paraId="62E2D07B" w14:textId="39BDC503" w:rsidR="00395756" w:rsidRDefault="001377F9" w:rsidP="00395756">
            <w:r>
              <w:rPr>
                <w:rStyle w:val="normaltextrun"/>
                <w:rFonts w:ascii="Calibri" w:hAnsi="Calibri" w:cs="Calibri"/>
              </w:rPr>
              <w:t>Data demonstrates that this group are not reaching the expected standard or greater depth in line with other pupils.</w:t>
            </w:r>
          </w:p>
        </w:tc>
        <w:tc>
          <w:tcPr>
            <w:tcW w:w="3083" w:type="dxa"/>
          </w:tcPr>
          <w:p w14:paraId="5BDC0595" w14:textId="640D7F3A" w:rsidR="00F26CEB" w:rsidRPr="004B28D1" w:rsidRDefault="00F26CEB" w:rsidP="00F26CEB">
            <w:pPr>
              <w:pStyle w:val="NoSpacing"/>
              <w:rPr>
                <w:rFonts w:asciiTheme="minorHAnsi" w:hAnsiTheme="minorHAnsi" w:cstheme="minorHAnsi"/>
              </w:rPr>
            </w:pPr>
            <w:r w:rsidRPr="004B28D1">
              <w:rPr>
                <w:rFonts w:asciiTheme="minorHAnsi" w:hAnsiTheme="minorHAnsi" w:cstheme="minorHAnsi"/>
              </w:rPr>
              <w:t>To</w:t>
            </w:r>
            <w:r w:rsidRPr="004B28D1">
              <w:rPr>
                <w:rFonts w:asciiTheme="minorHAnsi" w:hAnsiTheme="minorHAnsi" w:cstheme="minorHAnsi"/>
                <w:spacing w:val="-17"/>
              </w:rPr>
              <w:t xml:space="preserve"> provide </w:t>
            </w:r>
            <w:r w:rsidRPr="004B28D1">
              <w:rPr>
                <w:rFonts w:asciiTheme="minorHAnsi" w:hAnsiTheme="minorHAnsi" w:cstheme="minorHAnsi"/>
              </w:rPr>
              <w:t>opportunit</w:t>
            </w:r>
            <w:r w:rsidR="004B28D1" w:rsidRPr="004B28D1">
              <w:rPr>
                <w:rFonts w:asciiTheme="minorHAnsi" w:hAnsiTheme="minorHAnsi" w:cstheme="minorHAnsi"/>
              </w:rPr>
              <w:t>ies</w:t>
            </w:r>
            <w:r w:rsidRPr="004B28D1">
              <w:rPr>
                <w:rFonts w:asciiTheme="minorHAnsi" w:hAnsiTheme="minorHAnsi" w:cstheme="minorHAnsi"/>
              </w:rPr>
              <w:t xml:space="preserve"> for focused group work to take place with a continuous input of quality first hand teaching and</w:t>
            </w:r>
            <w:r w:rsidRPr="004B28D1">
              <w:rPr>
                <w:rFonts w:asciiTheme="minorHAnsi" w:hAnsiTheme="minorHAnsi" w:cstheme="minorHAnsi"/>
                <w:spacing w:val="-11"/>
              </w:rPr>
              <w:t xml:space="preserve"> </w:t>
            </w:r>
            <w:r w:rsidRPr="004B28D1">
              <w:rPr>
                <w:rFonts w:asciiTheme="minorHAnsi" w:hAnsiTheme="minorHAnsi" w:cstheme="minorHAnsi"/>
              </w:rPr>
              <w:t>learning.</w:t>
            </w:r>
          </w:p>
          <w:p w14:paraId="22CEFE98" w14:textId="77777777" w:rsidR="00F26CEB" w:rsidRPr="004B28D1" w:rsidRDefault="00F26CEB" w:rsidP="00F26CEB">
            <w:pPr>
              <w:pStyle w:val="NoSpacing"/>
              <w:rPr>
                <w:rFonts w:asciiTheme="minorHAnsi" w:hAnsiTheme="minorHAnsi" w:cstheme="minorHAnsi"/>
              </w:rPr>
            </w:pPr>
          </w:p>
          <w:p w14:paraId="7A09E269" w14:textId="0789E12F" w:rsidR="00F26CEB" w:rsidRPr="004B28D1" w:rsidRDefault="00F26CEB" w:rsidP="00F26CEB">
            <w:pPr>
              <w:pStyle w:val="NoSpacing"/>
              <w:rPr>
                <w:rFonts w:asciiTheme="minorHAnsi" w:hAnsiTheme="minorHAnsi" w:cstheme="minorHAnsi"/>
                <w:bdr w:val="none" w:sz="0" w:space="0" w:color="auto" w:frame="1"/>
                <w:lang w:eastAsia="en-GB"/>
              </w:rPr>
            </w:pPr>
            <w:r w:rsidRPr="004B28D1">
              <w:rPr>
                <w:rFonts w:asciiTheme="minorHAnsi" w:hAnsiTheme="minorHAnsi" w:cstheme="minorHAnsi"/>
                <w:bdr w:val="none" w:sz="0" w:space="0" w:color="auto" w:frame="1"/>
                <w:lang w:eastAsia="en-GB"/>
              </w:rPr>
              <w:t xml:space="preserve">Embed the strategies </w:t>
            </w:r>
            <w:r w:rsidR="004B28D1" w:rsidRPr="004B28D1">
              <w:rPr>
                <w:rFonts w:asciiTheme="minorHAnsi" w:hAnsiTheme="minorHAnsi" w:cstheme="minorHAnsi"/>
                <w:bdr w:val="none" w:sz="0" w:space="0" w:color="auto" w:frame="1"/>
                <w:lang w:eastAsia="en-GB"/>
              </w:rPr>
              <w:t xml:space="preserve">used in the implementation of these subjects. (clearly defined learning journey, manageable </w:t>
            </w:r>
            <w:r w:rsidR="004B28D1" w:rsidRPr="004B28D1">
              <w:rPr>
                <w:rFonts w:asciiTheme="minorHAnsi" w:hAnsiTheme="minorHAnsi" w:cstheme="minorHAnsi"/>
                <w:bdr w:val="none" w:sz="0" w:space="0" w:color="auto" w:frame="1"/>
                <w:lang w:eastAsia="en-GB"/>
              </w:rPr>
              <w:lastRenderedPageBreak/>
              <w:t>steps, clear learning point, identification of misconceptions.)</w:t>
            </w:r>
          </w:p>
          <w:p w14:paraId="683FC423" w14:textId="77777777" w:rsidR="00F26CEB" w:rsidRPr="004B28D1" w:rsidRDefault="00F26CEB" w:rsidP="00F26CEB">
            <w:pPr>
              <w:pStyle w:val="NoSpacing"/>
              <w:ind w:left="720"/>
              <w:rPr>
                <w:rFonts w:asciiTheme="minorHAnsi" w:hAnsiTheme="minorHAnsi" w:cstheme="minorHAnsi"/>
                <w:bdr w:val="none" w:sz="0" w:space="0" w:color="auto" w:frame="1"/>
                <w:lang w:eastAsia="en-GB"/>
              </w:rPr>
            </w:pPr>
          </w:p>
          <w:p w14:paraId="3264E2DD" w14:textId="7412EC03" w:rsidR="00395756" w:rsidRPr="004B28D1" w:rsidRDefault="004B28D1" w:rsidP="004B28D1">
            <w:pPr>
              <w:pStyle w:val="NoSpacing"/>
              <w:suppressAutoHyphens w:val="0"/>
              <w:autoSpaceDN/>
              <w:textAlignment w:val="auto"/>
              <w:rPr>
                <w:rFonts w:asciiTheme="minorHAnsi" w:hAnsiTheme="minorHAnsi" w:cstheme="minorHAnsi"/>
                <w:bdr w:val="none" w:sz="0" w:space="0" w:color="auto" w:frame="1"/>
                <w:lang w:eastAsia="en-GB"/>
              </w:rPr>
            </w:pPr>
            <w:r w:rsidRPr="004B28D1">
              <w:rPr>
                <w:rFonts w:asciiTheme="minorHAnsi" w:hAnsiTheme="minorHAnsi" w:cstheme="minorHAnsi"/>
                <w:bdr w:val="none" w:sz="0" w:space="0" w:color="auto" w:frame="1"/>
                <w:lang w:eastAsia="en-GB"/>
              </w:rPr>
              <w:t>Ensure knowledge and skills progression.</w:t>
            </w:r>
          </w:p>
        </w:tc>
        <w:tc>
          <w:tcPr>
            <w:tcW w:w="2870" w:type="dxa"/>
          </w:tcPr>
          <w:p w14:paraId="63600C81" w14:textId="293FC22A" w:rsidR="00395756" w:rsidRDefault="004B28D1" w:rsidP="00395756">
            <w:r>
              <w:rPr>
                <w:rStyle w:val="normaltextrun"/>
                <w:rFonts w:ascii="Calibri" w:hAnsi="Calibri" w:cs="Calibri"/>
              </w:rPr>
              <w:lastRenderedPageBreak/>
              <w:t>The percentage of girls reaching expected standard or above in reading, writing and maths will increase in KS1 and KS2. </w:t>
            </w:r>
            <w:r>
              <w:rPr>
                <w:rStyle w:val="eop"/>
                <w:rFonts w:ascii="Calibri" w:hAnsi="Calibri" w:cs="Calibri"/>
              </w:rPr>
              <w:t> </w:t>
            </w:r>
          </w:p>
        </w:tc>
      </w:tr>
      <w:tr w:rsidR="00395756" w14:paraId="66138F89" w14:textId="77777777" w:rsidTr="00BC551C">
        <w:tc>
          <w:tcPr>
            <w:tcW w:w="381" w:type="dxa"/>
          </w:tcPr>
          <w:p w14:paraId="20E36234" w14:textId="795C2CDD" w:rsidR="00395756" w:rsidRDefault="00395756" w:rsidP="00395756">
            <w:r>
              <w:t>3</w:t>
            </w:r>
          </w:p>
        </w:tc>
        <w:tc>
          <w:tcPr>
            <w:tcW w:w="1999" w:type="dxa"/>
          </w:tcPr>
          <w:p w14:paraId="4E3B172B" w14:textId="33991D8F" w:rsidR="00395756" w:rsidRPr="00C90BEE" w:rsidRDefault="00C90BEE" w:rsidP="00C90BEE">
            <w:pPr>
              <w:ind w:left="30"/>
              <w:textAlignment w:val="baseline"/>
            </w:pPr>
            <w:r w:rsidRPr="00C90BEE">
              <w:rPr>
                <w:rFonts w:ascii="Calibri" w:eastAsia="Times New Roman" w:hAnsi="Calibri" w:cs="Calibri"/>
                <w:kern w:val="0"/>
                <w:lang w:eastAsia="en-GB"/>
                <w14:ligatures w14:val="none"/>
              </w:rPr>
              <w:t>To increase the percentage of boys reaching the expected standard and greater depth in writing.</w:t>
            </w:r>
          </w:p>
        </w:tc>
        <w:tc>
          <w:tcPr>
            <w:tcW w:w="1494" w:type="dxa"/>
          </w:tcPr>
          <w:p w14:paraId="5D437916" w14:textId="215297D7" w:rsidR="00395756" w:rsidRDefault="00C90BEE" w:rsidP="00395756">
            <w:r>
              <w:t>Gender</w:t>
            </w:r>
          </w:p>
        </w:tc>
        <w:tc>
          <w:tcPr>
            <w:tcW w:w="1366" w:type="dxa"/>
          </w:tcPr>
          <w:p w14:paraId="4C498D81" w14:textId="3CA774DF" w:rsidR="00395756" w:rsidRDefault="00395756" w:rsidP="00395756">
            <w:r>
              <w:t xml:space="preserve">Boys </w:t>
            </w:r>
          </w:p>
        </w:tc>
        <w:tc>
          <w:tcPr>
            <w:tcW w:w="3119" w:type="dxa"/>
          </w:tcPr>
          <w:p w14:paraId="4BF4A1E4" w14:textId="2AE32CB3" w:rsidR="00395756" w:rsidRDefault="001377F9" w:rsidP="00395756">
            <w:r>
              <w:rPr>
                <w:rStyle w:val="normaltextrun"/>
                <w:rFonts w:ascii="Calibri" w:hAnsi="Calibri" w:cs="Calibri"/>
              </w:rPr>
              <w:t>Data demonstrates that this group are not reaching the expected standard or greater depth in line with other pupils.</w:t>
            </w:r>
          </w:p>
        </w:tc>
        <w:tc>
          <w:tcPr>
            <w:tcW w:w="3083" w:type="dxa"/>
          </w:tcPr>
          <w:p w14:paraId="14F52255" w14:textId="5CF86E09" w:rsidR="004B28D1" w:rsidRPr="004B28D1" w:rsidRDefault="004B28D1" w:rsidP="004B28D1">
            <w:pPr>
              <w:pStyle w:val="NoSpacing"/>
              <w:rPr>
                <w:rFonts w:asciiTheme="minorHAnsi" w:hAnsiTheme="minorHAnsi" w:cstheme="minorHAnsi"/>
              </w:rPr>
            </w:pPr>
            <w:r w:rsidRPr="004B28D1">
              <w:rPr>
                <w:rFonts w:asciiTheme="minorHAnsi" w:hAnsiTheme="minorHAnsi" w:cstheme="minorHAnsi"/>
              </w:rPr>
              <w:t>To</w:t>
            </w:r>
            <w:r w:rsidRPr="004B28D1">
              <w:rPr>
                <w:rFonts w:asciiTheme="minorHAnsi" w:hAnsiTheme="minorHAnsi" w:cstheme="minorHAnsi"/>
                <w:spacing w:val="-17"/>
              </w:rPr>
              <w:t xml:space="preserve"> provide </w:t>
            </w:r>
            <w:r w:rsidRPr="004B28D1">
              <w:rPr>
                <w:rFonts w:asciiTheme="minorHAnsi" w:hAnsiTheme="minorHAnsi" w:cstheme="minorHAnsi"/>
              </w:rPr>
              <w:t>opportunities for focused group work to take place with a continuous input of quality first hand teaching and</w:t>
            </w:r>
            <w:r w:rsidRPr="004B28D1">
              <w:rPr>
                <w:rFonts w:asciiTheme="minorHAnsi" w:hAnsiTheme="minorHAnsi" w:cstheme="minorHAnsi"/>
                <w:spacing w:val="-11"/>
              </w:rPr>
              <w:t xml:space="preserve"> </w:t>
            </w:r>
            <w:r w:rsidRPr="004B28D1">
              <w:rPr>
                <w:rFonts w:asciiTheme="minorHAnsi" w:hAnsiTheme="minorHAnsi" w:cstheme="minorHAnsi"/>
              </w:rPr>
              <w:t>learning.</w:t>
            </w:r>
          </w:p>
          <w:p w14:paraId="1B32D872" w14:textId="77777777" w:rsidR="004B28D1" w:rsidRPr="004B28D1" w:rsidRDefault="004B28D1" w:rsidP="004B28D1">
            <w:pPr>
              <w:pStyle w:val="NoSpacing"/>
              <w:rPr>
                <w:rFonts w:asciiTheme="minorHAnsi" w:hAnsiTheme="minorHAnsi" w:cstheme="minorHAnsi"/>
              </w:rPr>
            </w:pPr>
          </w:p>
          <w:p w14:paraId="7A56886D" w14:textId="77777777" w:rsidR="00E17455" w:rsidRPr="004B28D1" w:rsidRDefault="00E17455" w:rsidP="00E17455">
            <w:pPr>
              <w:pStyle w:val="NoSpacing"/>
              <w:rPr>
                <w:rFonts w:asciiTheme="minorHAnsi" w:hAnsiTheme="minorHAnsi" w:cstheme="minorHAnsi"/>
                <w:bdr w:val="none" w:sz="0" w:space="0" w:color="auto" w:frame="1"/>
                <w:lang w:eastAsia="en-GB"/>
              </w:rPr>
            </w:pPr>
            <w:r w:rsidRPr="004B28D1">
              <w:rPr>
                <w:rFonts w:asciiTheme="minorHAnsi" w:hAnsiTheme="minorHAnsi" w:cstheme="minorHAnsi"/>
                <w:bdr w:val="none" w:sz="0" w:space="0" w:color="auto" w:frame="1"/>
                <w:lang w:eastAsia="en-GB"/>
              </w:rPr>
              <w:t>Embed the strategies used in the implementation of these subjects. (clearly defined learning journey, manageable steps, clear learning point, identification of misconceptions.)</w:t>
            </w:r>
          </w:p>
          <w:p w14:paraId="6CB560C4" w14:textId="77777777" w:rsidR="004B28D1" w:rsidRPr="004B28D1" w:rsidRDefault="004B28D1" w:rsidP="004B28D1">
            <w:pPr>
              <w:pStyle w:val="NoSpacing"/>
              <w:ind w:left="720"/>
              <w:rPr>
                <w:rFonts w:asciiTheme="minorHAnsi" w:hAnsiTheme="minorHAnsi" w:cstheme="minorHAnsi"/>
                <w:bdr w:val="none" w:sz="0" w:space="0" w:color="auto" w:frame="1"/>
                <w:lang w:eastAsia="en-GB"/>
              </w:rPr>
            </w:pPr>
          </w:p>
          <w:p w14:paraId="27EF41AA" w14:textId="0245FC4F" w:rsidR="004B28D1" w:rsidRPr="004B28D1" w:rsidRDefault="00E17455" w:rsidP="004B28D1">
            <w:pPr>
              <w:pStyle w:val="NoSpacing"/>
              <w:suppressAutoHyphens w:val="0"/>
              <w:autoSpaceDN/>
              <w:textAlignment w:val="auto"/>
              <w:rPr>
                <w:rFonts w:asciiTheme="minorHAnsi" w:hAnsiTheme="minorHAnsi" w:cstheme="minorHAnsi"/>
                <w:bdr w:val="none" w:sz="0" w:space="0" w:color="auto" w:frame="1"/>
                <w:lang w:eastAsia="en-GB"/>
              </w:rPr>
            </w:pPr>
            <w:r>
              <w:rPr>
                <w:rFonts w:asciiTheme="minorHAnsi" w:hAnsiTheme="minorHAnsi" w:cstheme="minorHAnsi"/>
                <w:bdr w:val="none" w:sz="0" w:space="0" w:color="auto" w:frame="1"/>
                <w:lang w:eastAsia="en-GB"/>
              </w:rPr>
              <w:t xml:space="preserve">e.g. </w:t>
            </w:r>
            <w:r w:rsidR="004B28D1" w:rsidRPr="004B28D1">
              <w:rPr>
                <w:rFonts w:asciiTheme="minorHAnsi" w:hAnsiTheme="minorHAnsi" w:cstheme="minorHAnsi"/>
                <w:bdr w:val="none" w:sz="0" w:space="0" w:color="auto" w:frame="1"/>
                <w:lang w:eastAsia="en-GB"/>
              </w:rPr>
              <w:t>Writing Process – Immersion in the text/ Boxing Up / writing and editing process</w:t>
            </w:r>
          </w:p>
          <w:p w14:paraId="02F3766F" w14:textId="1102C438" w:rsidR="00395756" w:rsidRDefault="00395756" w:rsidP="004B28D1"/>
        </w:tc>
        <w:tc>
          <w:tcPr>
            <w:tcW w:w="2870" w:type="dxa"/>
          </w:tcPr>
          <w:p w14:paraId="51132231" w14:textId="51F10A43" w:rsidR="00395756" w:rsidRDefault="004B28D1" w:rsidP="004B28D1">
            <w:r>
              <w:rPr>
                <w:rStyle w:val="normaltextrun"/>
                <w:rFonts w:ascii="Calibri" w:hAnsi="Calibri" w:cs="Calibri"/>
              </w:rPr>
              <w:t xml:space="preserve">The percentage of boys reaching expected standard and greater depth </w:t>
            </w:r>
            <w:proofErr w:type="gramStart"/>
            <w:r>
              <w:rPr>
                <w:rStyle w:val="normaltextrun"/>
                <w:rFonts w:ascii="Calibri" w:hAnsi="Calibri" w:cs="Calibri"/>
              </w:rPr>
              <w:t>In</w:t>
            </w:r>
            <w:proofErr w:type="gramEnd"/>
            <w:r>
              <w:rPr>
                <w:rStyle w:val="normaltextrun"/>
                <w:rFonts w:ascii="Calibri" w:hAnsi="Calibri" w:cs="Calibri"/>
              </w:rPr>
              <w:t xml:space="preserve"> writing will increase in KS1 and KS2. </w:t>
            </w:r>
            <w:r>
              <w:rPr>
                <w:rStyle w:val="eop"/>
                <w:rFonts w:ascii="Calibri" w:hAnsi="Calibri" w:cs="Calibri"/>
              </w:rPr>
              <w:t> </w:t>
            </w:r>
          </w:p>
        </w:tc>
      </w:tr>
      <w:tr w:rsidR="00395756" w14:paraId="143E2F93" w14:textId="77777777" w:rsidTr="00BC551C">
        <w:tc>
          <w:tcPr>
            <w:tcW w:w="381" w:type="dxa"/>
          </w:tcPr>
          <w:p w14:paraId="17767488" w14:textId="60321278" w:rsidR="00395756" w:rsidRDefault="00395756" w:rsidP="00395756">
            <w:r>
              <w:t>4</w:t>
            </w:r>
          </w:p>
        </w:tc>
        <w:tc>
          <w:tcPr>
            <w:tcW w:w="1999" w:type="dxa"/>
          </w:tcPr>
          <w:p w14:paraId="36613F40" w14:textId="434F89C9" w:rsidR="00395756" w:rsidRPr="00C90BEE" w:rsidRDefault="00C90BEE" w:rsidP="00395756">
            <w:r w:rsidRPr="00C90BEE">
              <w:rPr>
                <w:rFonts w:ascii="Calibri" w:eastAsia="Times New Roman" w:hAnsi="Calibri" w:cs="Calibri"/>
                <w:kern w:val="0"/>
                <w:lang w:eastAsia="en-GB"/>
                <w14:ligatures w14:val="none"/>
              </w:rPr>
              <w:t xml:space="preserve">To increase the percentage of children reaching the expected standard in </w:t>
            </w:r>
            <w:r w:rsidR="00395756" w:rsidRPr="00C90BEE">
              <w:rPr>
                <w:rFonts w:ascii="Calibri" w:eastAsia="Times New Roman" w:hAnsi="Calibri" w:cs="Calibri"/>
                <w:kern w:val="0"/>
                <w:lang w:eastAsia="en-GB"/>
                <w14:ligatures w14:val="none"/>
              </w:rPr>
              <w:t>writing and Maths </w:t>
            </w:r>
          </w:p>
        </w:tc>
        <w:tc>
          <w:tcPr>
            <w:tcW w:w="1494" w:type="dxa"/>
          </w:tcPr>
          <w:p w14:paraId="2752C97E" w14:textId="02EA30FD" w:rsidR="00395756" w:rsidRDefault="00C90BEE" w:rsidP="00395756">
            <w:r>
              <w:t>Ethnicity</w:t>
            </w:r>
          </w:p>
        </w:tc>
        <w:tc>
          <w:tcPr>
            <w:tcW w:w="1366" w:type="dxa"/>
          </w:tcPr>
          <w:p w14:paraId="20ED086E" w14:textId="75D481B5" w:rsidR="00395756" w:rsidRDefault="00395756" w:rsidP="00395756">
            <w:r>
              <w:t>Ethnicity</w:t>
            </w:r>
          </w:p>
        </w:tc>
        <w:tc>
          <w:tcPr>
            <w:tcW w:w="3119" w:type="dxa"/>
          </w:tcPr>
          <w:p w14:paraId="4BC45CC8" w14:textId="1418BCE7" w:rsidR="00395756" w:rsidRDefault="001377F9" w:rsidP="00395756">
            <w:r>
              <w:rPr>
                <w:rStyle w:val="normaltextrun"/>
                <w:rFonts w:ascii="Calibri" w:hAnsi="Calibri" w:cs="Calibri"/>
              </w:rPr>
              <w:t>Data demonstrates that this group are not reaching the expected standard in line with other pupils.</w:t>
            </w:r>
          </w:p>
        </w:tc>
        <w:tc>
          <w:tcPr>
            <w:tcW w:w="3083" w:type="dxa"/>
          </w:tcPr>
          <w:p w14:paraId="5B67925F" w14:textId="046775EC" w:rsidR="004B28D1" w:rsidRPr="004B28D1" w:rsidRDefault="004B28D1" w:rsidP="004B28D1">
            <w:pPr>
              <w:pStyle w:val="NoSpacing"/>
              <w:rPr>
                <w:rFonts w:asciiTheme="minorHAnsi" w:hAnsiTheme="minorHAnsi" w:cstheme="minorHAnsi"/>
              </w:rPr>
            </w:pPr>
            <w:r w:rsidRPr="004B28D1">
              <w:rPr>
                <w:rFonts w:asciiTheme="minorHAnsi" w:hAnsiTheme="minorHAnsi" w:cstheme="minorHAnsi"/>
              </w:rPr>
              <w:t>To</w:t>
            </w:r>
            <w:r w:rsidRPr="004B28D1">
              <w:rPr>
                <w:rFonts w:asciiTheme="minorHAnsi" w:hAnsiTheme="minorHAnsi" w:cstheme="minorHAnsi"/>
                <w:spacing w:val="-17"/>
              </w:rPr>
              <w:t xml:space="preserve"> provide opportunities </w:t>
            </w:r>
            <w:r w:rsidRPr="004B28D1">
              <w:rPr>
                <w:rFonts w:asciiTheme="minorHAnsi" w:hAnsiTheme="minorHAnsi" w:cstheme="minorHAnsi"/>
              </w:rPr>
              <w:t>for focused group work to take place with a continuous input of quality first hand teaching and</w:t>
            </w:r>
            <w:r w:rsidRPr="004B28D1">
              <w:rPr>
                <w:rFonts w:asciiTheme="minorHAnsi" w:hAnsiTheme="minorHAnsi" w:cstheme="minorHAnsi"/>
                <w:spacing w:val="-11"/>
              </w:rPr>
              <w:t xml:space="preserve"> </w:t>
            </w:r>
            <w:r w:rsidRPr="004B28D1">
              <w:rPr>
                <w:rFonts w:asciiTheme="minorHAnsi" w:hAnsiTheme="minorHAnsi" w:cstheme="minorHAnsi"/>
              </w:rPr>
              <w:t>learning.</w:t>
            </w:r>
          </w:p>
          <w:p w14:paraId="2F672991" w14:textId="77777777" w:rsidR="004B28D1" w:rsidRPr="004B28D1" w:rsidRDefault="004B28D1" w:rsidP="004B28D1">
            <w:pPr>
              <w:pStyle w:val="NoSpacing"/>
              <w:rPr>
                <w:rFonts w:asciiTheme="minorHAnsi" w:hAnsiTheme="minorHAnsi" w:cstheme="minorHAnsi"/>
              </w:rPr>
            </w:pPr>
          </w:p>
          <w:p w14:paraId="3D4483A6" w14:textId="77777777" w:rsidR="00E71E13" w:rsidRPr="004B28D1" w:rsidRDefault="00E71E13" w:rsidP="00E71E13">
            <w:pPr>
              <w:pStyle w:val="NoSpacing"/>
              <w:rPr>
                <w:rFonts w:asciiTheme="minorHAnsi" w:hAnsiTheme="minorHAnsi" w:cstheme="minorHAnsi"/>
                <w:bdr w:val="none" w:sz="0" w:space="0" w:color="auto" w:frame="1"/>
                <w:lang w:eastAsia="en-GB"/>
              </w:rPr>
            </w:pPr>
            <w:r w:rsidRPr="004B28D1">
              <w:rPr>
                <w:rFonts w:asciiTheme="minorHAnsi" w:hAnsiTheme="minorHAnsi" w:cstheme="minorHAnsi"/>
                <w:bdr w:val="none" w:sz="0" w:space="0" w:color="auto" w:frame="1"/>
                <w:lang w:eastAsia="en-GB"/>
              </w:rPr>
              <w:t xml:space="preserve">Embed the strategies used in the implementation of these subjects. (clearly defined </w:t>
            </w:r>
            <w:r w:rsidRPr="004B28D1">
              <w:rPr>
                <w:rFonts w:asciiTheme="minorHAnsi" w:hAnsiTheme="minorHAnsi" w:cstheme="minorHAnsi"/>
                <w:bdr w:val="none" w:sz="0" w:space="0" w:color="auto" w:frame="1"/>
                <w:lang w:eastAsia="en-GB"/>
              </w:rPr>
              <w:lastRenderedPageBreak/>
              <w:t>learning journey, manageable steps, clear learning point, identification of misconceptions.)</w:t>
            </w:r>
          </w:p>
          <w:p w14:paraId="23B27E76" w14:textId="6C0CAC8D" w:rsidR="004B28D1" w:rsidRPr="004B28D1" w:rsidRDefault="004B28D1" w:rsidP="004B28D1">
            <w:pPr>
              <w:pStyle w:val="NoSpacing"/>
              <w:rPr>
                <w:rFonts w:asciiTheme="minorHAnsi" w:hAnsiTheme="minorHAnsi" w:cstheme="minorHAnsi"/>
                <w:bdr w:val="none" w:sz="0" w:space="0" w:color="auto" w:frame="1"/>
                <w:lang w:eastAsia="en-GB"/>
              </w:rPr>
            </w:pPr>
            <w:r w:rsidRPr="004B28D1">
              <w:rPr>
                <w:rFonts w:asciiTheme="minorHAnsi" w:hAnsiTheme="minorHAnsi" w:cstheme="minorHAnsi"/>
                <w:bdr w:val="none" w:sz="0" w:space="0" w:color="auto" w:frame="1"/>
                <w:lang w:eastAsia="en-GB"/>
              </w:rPr>
              <w:t>Continue to embed:</w:t>
            </w:r>
          </w:p>
          <w:p w14:paraId="1BE525D2" w14:textId="0723223C" w:rsidR="004B28D1" w:rsidRPr="004B28D1" w:rsidRDefault="004B28D1" w:rsidP="004B28D1">
            <w:pPr>
              <w:pStyle w:val="NoSpacing"/>
              <w:suppressAutoHyphens w:val="0"/>
              <w:autoSpaceDN/>
              <w:textAlignment w:val="auto"/>
              <w:rPr>
                <w:rFonts w:asciiTheme="minorHAnsi" w:hAnsiTheme="minorHAnsi" w:cstheme="minorHAnsi"/>
                <w:bdr w:val="none" w:sz="0" w:space="0" w:color="auto" w:frame="1"/>
                <w:lang w:eastAsia="en-GB"/>
              </w:rPr>
            </w:pPr>
            <w:r w:rsidRPr="004B28D1">
              <w:rPr>
                <w:rFonts w:asciiTheme="minorHAnsi" w:hAnsiTheme="minorHAnsi" w:cstheme="minorHAnsi"/>
                <w:bdr w:val="none" w:sz="0" w:space="0" w:color="auto" w:frame="1"/>
                <w:lang w:eastAsia="en-GB"/>
              </w:rPr>
              <w:t>e.g. Writing Process – Immersion in the text/ Boxing Up / writing and editing process</w:t>
            </w:r>
          </w:p>
          <w:p w14:paraId="40E8A408" w14:textId="77777777" w:rsidR="004B28D1" w:rsidRPr="004B28D1" w:rsidRDefault="004B28D1" w:rsidP="004B28D1">
            <w:pPr>
              <w:pStyle w:val="NoSpacing"/>
              <w:suppressAutoHyphens w:val="0"/>
              <w:autoSpaceDN/>
              <w:textAlignment w:val="auto"/>
              <w:rPr>
                <w:rFonts w:asciiTheme="minorHAnsi" w:hAnsiTheme="minorHAnsi" w:cstheme="minorHAnsi"/>
                <w:bdr w:val="none" w:sz="0" w:space="0" w:color="auto" w:frame="1"/>
                <w:lang w:eastAsia="en-GB"/>
              </w:rPr>
            </w:pPr>
          </w:p>
          <w:p w14:paraId="37E9B055" w14:textId="77777777" w:rsidR="004B28D1" w:rsidRPr="004B28D1" w:rsidRDefault="004B28D1" w:rsidP="004B28D1">
            <w:pPr>
              <w:pStyle w:val="NoSpacing"/>
              <w:suppressAutoHyphens w:val="0"/>
              <w:autoSpaceDN/>
              <w:textAlignment w:val="auto"/>
              <w:rPr>
                <w:rFonts w:asciiTheme="minorHAnsi" w:hAnsiTheme="minorHAnsi" w:cstheme="minorHAnsi"/>
                <w:bdr w:val="none" w:sz="0" w:space="0" w:color="auto" w:frame="1"/>
                <w:lang w:eastAsia="en-GB"/>
              </w:rPr>
            </w:pPr>
            <w:r w:rsidRPr="004B28D1">
              <w:rPr>
                <w:rFonts w:asciiTheme="minorHAnsi" w:hAnsiTheme="minorHAnsi" w:cstheme="minorHAnsi"/>
                <w:bdr w:val="none" w:sz="0" w:space="0" w:color="auto" w:frame="1"/>
                <w:lang w:eastAsia="en-GB"/>
              </w:rPr>
              <w:t>A mastery approach to Maths – supported by the introduction of the use of ‘Can Do Maths’</w:t>
            </w:r>
          </w:p>
          <w:p w14:paraId="1B1E7629" w14:textId="77777777" w:rsidR="004B28D1" w:rsidRPr="00A01A06" w:rsidRDefault="004B28D1" w:rsidP="004B28D1">
            <w:pPr>
              <w:pStyle w:val="NoSpacing"/>
              <w:ind w:left="360"/>
              <w:rPr>
                <w:rFonts w:ascii="Comic Sans MS" w:hAnsi="Comic Sans MS"/>
                <w:sz w:val="20"/>
                <w:szCs w:val="20"/>
                <w:bdr w:val="none" w:sz="0" w:space="0" w:color="auto" w:frame="1"/>
                <w:lang w:eastAsia="en-GB"/>
              </w:rPr>
            </w:pPr>
          </w:p>
          <w:p w14:paraId="47283907" w14:textId="69E4FE75" w:rsidR="00395756" w:rsidRDefault="00395756" w:rsidP="004B28D1"/>
        </w:tc>
        <w:tc>
          <w:tcPr>
            <w:tcW w:w="2870" w:type="dxa"/>
          </w:tcPr>
          <w:p w14:paraId="6D20893F" w14:textId="2FA7EC40" w:rsidR="00395756" w:rsidRDefault="004B28D1" w:rsidP="00395756">
            <w:r>
              <w:rPr>
                <w:rStyle w:val="normaltextrun"/>
                <w:rFonts w:ascii="Calibri" w:hAnsi="Calibri" w:cs="Calibri"/>
              </w:rPr>
              <w:lastRenderedPageBreak/>
              <w:t>The percentage of children reaching expected standard in writing and maths will increase in KS1 and KS2. </w:t>
            </w:r>
            <w:r>
              <w:rPr>
                <w:rStyle w:val="eop"/>
                <w:rFonts w:ascii="Calibri" w:hAnsi="Calibri" w:cs="Calibri"/>
              </w:rPr>
              <w:t> </w:t>
            </w:r>
          </w:p>
        </w:tc>
      </w:tr>
      <w:tr w:rsidR="00BE6BA8" w14:paraId="2D2DBFEA" w14:textId="77777777" w:rsidTr="00384133">
        <w:tc>
          <w:tcPr>
            <w:tcW w:w="381" w:type="dxa"/>
          </w:tcPr>
          <w:p w14:paraId="244F3391" w14:textId="77777777" w:rsidR="00BE6BA8" w:rsidRDefault="00BE6BA8" w:rsidP="00395756"/>
        </w:tc>
        <w:tc>
          <w:tcPr>
            <w:tcW w:w="1999" w:type="dxa"/>
          </w:tcPr>
          <w:p w14:paraId="0D7A003F" w14:textId="279AEA74" w:rsidR="00BE6BA8" w:rsidRPr="00C90BEE" w:rsidRDefault="00BE6BA8" w:rsidP="00395756">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E</w:t>
            </w:r>
            <w:r>
              <w:rPr>
                <w:rFonts w:eastAsia="Times New Roman"/>
                <w:kern w:val="0"/>
                <w:lang w:eastAsia="en-GB"/>
                <w14:ligatures w14:val="none"/>
              </w:rPr>
              <w:t>valuation</w:t>
            </w:r>
          </w:p>
        </w:tc>
        <w:tc>
          <w:tcPr>
            <w:tcW w:w="11932" w:type="dxa"/>
            <w:gridSpan w:val="5"/>
          </w:tcPr>
          <w:p w14:paraId="1F7E79E9" w14:textId="625F025E" w:rsidR="00BE6BA8" w:rsidRDefault="00BE6BA8" w:rsidP="00BE6BA8">
            <w:pPr>
              <w:pStyle w:val="ListParagraph"/>
              <w:numPr>
                <w:ilvl w:val="0"/>
                <w:numId w:val="3"/>
              </w:numPr>
              <w:rPr>
                <w:rStyle w:val="normaltextrun"/>
                <w:rFonts w:ascii="Calibri" w:hAnsi="Calibri" w:cs="Calibri"/>
              </w:rPr>
            </w:pPr>
            <w:r>
              <w:rPr>
                <w:rStyle w:val="normaltextrun"/>
                <w:rFonts w:ascii="Calibri" w:hAnsi="Calibri" w:cs="Calibri"/>
              </w:rPr>
              <w:t>Specific SEND training provided to adapt teaching to meet the needs of SEND learners</w:t>
            </w:r>
          </w:p>
          <w:p w14:paraId="71EAAD95" w14:textId="1EA296A1" w:rsidR="00BE6BA8" w:rsidRDefault="00BE6BA8" w:rsidP="00BE6BA8">
            <w:pPr>
              <w:pStyle w:val="ListParagraph"/>
              <w:rPr>
                <w:rStyle w:val="normaltextrun"/>
                <w:rFonts w:ascii="Calibri" w:hAnsi="Calibri" w:cs="Calibri"/>
              </w:rPr>
            </w:pPr>
            <w:r>
              <w:rPr>
                <w:rStyle w:val="normaltextrun"/>
                <w:rFonts w:ascii="Calibri" w:hAnsi="Calibri" w:cs="Calibri"/>
              </w:rPr>
              <w:t>Subject Leader document – SEND in a Nutshell created for all subjects to highlight subject specific strategies to support SEND pupils</w:t>
            </w:r>
          </w:p>
          <w:p w14:paraId="3691EA65" w14:textId="77E17A9E" w:rsidR="00BE6BA8" w:rsidRDefault="00BE6BA8" w:rsidP="00BE6BA8">
            <w:pPr>
              <w:pStyle w:val="ListParagraph"/>
              <w:rPr>
                <w:rStyle w:val="normaltextrun"/>
                <w:rFonts w:ascii="Calibri" w:hAnsi="Calibri" w:cs="Calibri"/>
                <w:color w:val="FF0000"/>
              </w:rPr>
            </w:pPr>
            <w:r>
              <w:rPr>
                <w:rStyle w:val="normaltextrun"/>
                <w:rFonts w:ascii="Calibri" w:hAnsi="Calibri" w:cs="Calibri"/>
              </w:rPr>
              <w:t xml:space="preserve">Pupil Tracker Term 4 assessments indicate improved provision – </w:t>
            </w:r>
            <w:r w:rsidRPr="00BE6BA8">
              <w:rPr>
                <w:rStyle w:val="normaltextrun"/>
                <w:rFonts w:ascii="Calibri" w:hAnsi="Calibri" w:cs="Calibri"/>
                <w:color w:val="FF0000"/>
              </w:rPr>
              <w:t>Include Term 6 data</w:t>
            </w:r>
          </w:p>
          <w:p w14:paraId="2029FD35" w14:textId="0B352CD0" w:rsidR="00BE6BA8" w:rsidRDefault="00BE6BA8" w:rsidP="00BE6BA8">
            <w:pPr>
              <w:pStyle w:val="ListParagraph"/>
              <w:numPr>
                <w:ilvl w:val="0"/>
                <w:numId w:val="3"/>
              </w:numPr>
              <w:rPr>
                <w:rStyle w:val="normaltextrun"/>
                <w:rFonts w:ascii="Calibri" w:hAnsi="Calibri" w:cs="Calibri"/>
              </w:rPr>
            </w:pPr>
            <w:r>
              <w:rPr>
                <w:rStyle w:val="normaltextrun"/>
                <w:rFonts w:ascii="Calibri" w:hAnsi="Calibri" w:cs="Calibri"/>
              </w:rPr>
              <w:t xml:space="preserve">Focus groups identified in the SDP – staff training provided on Quality First </w:t>
            </w:r>
            <w:proofErr w:type="gramStart"/>
            <w:r>
              <w:rPr>
                <w:rStyle w:val="normaltextrun"/>
                <w:rFonts w:ascii="Calibri" w:hAnsi="Calibri" w:cs="Calibri"/>
              </w:rPr>
              <w:t>Teaching  -</w:t>
            </w:r>
            <w:proofErr w:type="gramEnd"/>
            <w:r>
              <w:rPr>
                <w:rStyle w:val="normaltextrun"/>
                <w:rFonts w:ascii="Calibri" w:hAnsi="Calibri" w:cs="Calibri"/>
              </w:rPr>
              <w:t xml:space="preserve"> Term 4 data is now showing no gender gap in Year 6. Next step is to continue to focus and improve greater depth </w:t>
            </w:r>
          </w:p>
          <w:p w14:paraId="590B9DB9" w14:textId="42111FB8" w:rsidR="00BE6BA8" w:rsidRDefault="00BE6BA8" w:rsidP="00BE6BA8">
            <w:pPr>
              <w:pStyle w:val="ListParagraph"/>
              <w:numPr>
                <w:ilvl w:val="0"/>
                <w:numId w:val="3"/>
              </w:numPr>
              <w:rPr>
                <w:rStyle w:val="normaltextrun"/>
                <w:rFonts w:ascii="Calibri" w:hAnsi="Calibri" w:cs="Calibri"/>
              </w:rPr>
            </w:pPr>
            <w:r>
              <w:rPr>
                <w:rStyle w:val="normaltextrun"/>
                <w:rFonts w:ascii="Calibri" w:hAnsi="Calibri" w:cs="Calibri"/>
              </w:rPr>
              <w:t xml:space="preserve">Focus groups identified in the SDP – staff training provided on Quality First </w:t>
            </w:r>
            <w:proofErr w:type="gramStart"/>
            <w:r>
              <w:rPr>
                <w:rStyle w:val="normaltextrun"/>
                <w:rFonts w:ascii="Calibri" w:hAnsi="Calibri" w:cs="Calibri"/>
              </w:rPr>
              <w:t>Teaching  -</w:t>
            </w:r>
            <w:proofErr w:type="gramEnd"/>
            <w:r>
              <w:rPr>
                <w:rStyle w:val="normaltextrun"/>
                <w:rFonts w:ascii="Calibri" w:hAnsi="Calibri" w:cs="Calibri"/>
              </w:rPr>
              <w:t xml:space="preserve"> Term 4 data is now showing no gender gap in Year 6</w:t>
            </w:r>
            <w:r>
              <w:rPr>
                <w:rStyle w:val="normaltextrun"/>
                <w:rFonts w:ascii="Calibri" w:hAnsi="Calibri" w:cs="Calibri"/>
              </w:rPr>
              <w:t xml:space="preserve">. </w:t>
            </w:r>
            <w:r>
              <w:rPr>
                <w:rStyle w:val="normaltextrun"/>
                <w:rFonts w:ascii="Calibri" w:hAnsi="Calibri" w:cs="Calibri"/>
              </w:rPr>
              <w:t>Next step is to continue to focus and improve greater depth</w:t>
            </w:r>
          </w:p>
          <w:p w14:paraId="59EE0F05" w14:textId="3F923C30" w:rsidR="00BE6BA8" w:rsidRPr="00BE6BA8" w:rsidRDefault="006F3955" w:rsidP="00BE6BA8">
            <w:pPr>
              <w:pStyle w:val="ListParagraph"/>
              <w:numPr>
                <w:ilvl w:val="0"/>
                <w:numId w:val="3"/>
              </w:numPr>
              <w:rPr>
                <w:rStyle w:val="normaltextrun"/>
                <w:rFonts w:ascii="Calibri" w:hAnsi="Calibri" w:cs="Calibri"/>
              </w:rPr>
            </w:pPr>
            <w:r>
              <w:rPr>
                <w:rStyle w:val="normaltextrun"/>
                <w:rFonts w:ascii="Calibri" w:hAnsi="Calibri" w:cs="Calibri"/>
              </w:rPr>
              <w:t>Writing learning journeys have been updated to provide consistent small step approach across the school. Staff training has focused on the Writing process and emphasis on vocabulary in Guided Reading as well as writing. Maths On Track sessions are fully embedded across the school – Term 4 data now showing EAL gap to be closing, especially in Year 6</w:t>
            </w:r>
            <w:bookmarkStart w:id="0" w:name="_GoBack"/>
            <w:bookmarkEnd w:id="0"/>
          </w:p>
          <w:p w14:paraId="49ED3C43" w14:textId="080E1669" w:rsidR="00BE6BA8" w:rsidRDefault="00BE6BA8" w:rsidP="00395756">
            <w:pPr>
              <w:rPr>
                <w:rStyle w:val="normaltextrun"/>
                <w:rFonts w:ascii="Calibri" w:hAnsi="Calibri" w:cs="Calibri"/>
              </w:rPr>
            </w:pPr>
          </w:p>
        </w:tc>
      </w:tr>
    </w:tbl>
    <w:p w14:paraId="10E5B23D" w14:textId="77777777" w:rsidR="00395756" w:rsidRDefault="00395756"/>
    <w:sectPr w:rsidR="00395756" w:rsidSect="00BC55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E46A1"/>
    <w:multiLevelType w:val="multilevel"/>
    <w:tmpl w:val="A3F4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B24E9"/>
    <w:multiLevelType w:val="multilevel"/>
    <w:tmpl w:val="638E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C925D6"/>
    <w:multiLevelType w:val="hybridMultilevel"/>
    <w:tmpl w:val="23060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1C"/>
    <w:rsid w:val="001377F9"/>
    <w:rsid w:val="001C46AA"/>
    <w:rsid w:val="00357E2C"/>
    <w:rsid w:val="00395756"/>
    <w:rsid w:val="004B28D1"/>
    <w:rsid w:val="005C25F0"/>
    <w:rsid w:val="006733D5"/>
    <w:rsid w:val="00674100"/>
    <w:rsid w:val="006F3955"/>
    <w:rsid w:val="00720E60"/>
    <w:rsid w:val="007636AA"/>
    <w:rsid w:val="00906718"/>
    <w:rsid w:val="0092733F"/>
    <w:rsid w:val="00BC551C"/>
    <w:rsid w:val="00BE6BA8"/>
    <w:rsid w:val="00C844B3"/>
    <w:rsid w:val="00C90BEE"/>
    <w:rsid w:val="00D16AC9"/>
    <w:rsid w:val="00E17455"/>
    <w:rsid w:val="00E71E13"/>
    <w:rsid w:val="00E9487B"/>
    <w:rsid w:val="00EE6786"/>
    <w:rsid w:val="00F26CEB"/>
    <w:rsid w:val="00F8410D"/>
    <w:rsid w:val="00FC2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CC57"/>
  <w15:chartTrackingRefBased/>
  <w15:docId w15:val="{BE720406-C6D0-4BC1-A131-9DBDD9B8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6A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8410D"/>
    <w:rPr>
      <w:b/>
      <w:bCs/>
    </w:rPr>
  </w:style>
  <w:style w:type="character" w:customStyle="1" w:styleId="normaltextrun">
    <w:name w:val="normaltextrun"/>
    <w:basedOn w:val="DefaultParagraphFont"/>
    <w:rsid w:val="00395756"/>
  </w:style>
  <w:style w:type="character" w:customStyle="1" w:styleId="eop">
    <w:name w:val="eop"/>
    <w:basedOn w:val="DefaultParagraphFont"/>
    <w:rsid w:val="00395756"/>
  </w:style>
  <w:style w:type="paragraph" w:customStyle="1" w:styleId="paragraph">
    <w:name w:val="paragraph"/>
    <w:basedOn w:val="Normal"/>
    <w:rsid w:val="0039575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F26CEB"/>
    <w:pPr>
      <w:suppressAutoHyphens/>
      <w:autoSpaceDN w:val="0"/>
      <w:spacing w:after="0" w:line="240" w:lineRule="auto"/>
      <w:textAlignment w:val="baseline"/>
    </w:pPr>
    <w:rPr>
      <w:rFonts w:ascii="Calibri" w:eastAsia="Calibri" w:hAnsi="Calibri" w:cs="Times New Roman"/>
      <w:kern w:val="0"/>
      <w14:ligatures w14:val="none"/>
    </w:rPr>
  </w:style>
  <w:style w:type="paragraph" w:styleId="ListParagraph">
    <w:name w:val="List Paragraph"/>
    <w:basedOn w:val="Normal"/>
    <w:uiPriority w:val="34"/>
    <w:qFormat/>
    <w:rsid w:val="00BE6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49205">
      <w:bodyDiv w:val="1"/>
      <w:marLeft w:val="0"/>
      <w:marRight w:val="0"/>
      <w:marTop w:val="0"/>
      <w:marBottom w:val="0"/>
      <w:divBdr>
        <w:top w:val="none" w:sz="0" w:space="0" w:color="auto"/>
        <w:left w:val="none" w:sz="0" w:space="0" w:color="auto"/>
        <w:bottom w:val="none" w:sz="0" w:space="0" w:color="auto"/>
        <w:right w:val="none" w:sz="0" w:space="0" w:color="auto"/>
      </w:divBdr>
      <w:divsChild>
        <w:div w:id="2084909894">
          <w:marLeft w:val="0"/>
          <w:marRight w:val="0"/>
          <w:marTop w:val="0"/>
          <w:marBottom w:val="0"/>
          <w:divBdr>
            <w:top w:val="none" w:sz="0" w:space="0" w:color="auto"/>
            <w:left w:val="none" w:sz="0" w:space="0" w:color="auto"/>
            <w:bottom w:val="none" w:sz="0" w:space="0" w:color="auto"/>
            <w:right w:val="none" w:sz="0" w:space="0" w:color="auto"/>
          </w:divBdr>
          <w:divsChild>
            <w:div w:id="892497831">
              <w:marLeft w:val="0"/>
              <w:marRight w:val="0"/>
              <w:marTop w:val="0"/>
              <w:marBottom w:val="0"/>
              <w:divBdr>
                <w:top w:val="none" w:sz="0" w:space="0" w:color="auto"/>
                <w:left w:val="none" w:sz="0" w:space="0" w:color="auto"/>
                <w:bottom w:val="none" w:sz="0" w:space="0" w:color="auto"/>
                <w:right w:val="none" w:sz="0" w:space="0" w:color="auto"/>
              </w:divBdr>
            </w:div>
          </w:divsChild>
        </w:div>
        <w:div w:id="1899588032">
          <w:marLeft w:val="0"/>
          <w:marRight w:val="0"/>
          <w:marTop w:val="0"/>
          <w:marBottom w:val="0"/>
          <w:divBdr>
            <w:top w:val="none" w:sz="0" w:space="0" w:color="auto"/>
            <w:left w:val="none" w:sz="0" w:space="0" w:color="auto"/>
            <w:bottom w:val="none" w:sz="0" w:space="0" w:color="auto"/>
            <w:right w:val="none" w:sz="0" w:space="0" w:color="auto"/>
          </w:divBdr>
          <w:divsChild>
            <w:div w:id="767965181">
              <w:marLeft w:val="0"/>
              <w:marRight w:val="0"/>
              <w:marTop w:val="0"/>
              <w:marBottom w:val="0"/>
              <w:divBdr>
                <w:top w:val="none" w:sz="0" w:space="0" w:color="auto"/>
                <w:left w:val="none" w:sz="0" w:space="0" w:color="auto"/>
                <w:bottom w:val="none" w:sz="0" w:space="0" w:color="auto"/>
                <w:right w:val="none" w:sz="0" w:space="0" w:color="auto"/>
              </w:divBdr>
            </w:div>
          </w:divsChild>
        </w:div>
        <w:div w:id="751976262">
          <w:marLeft w:val="0"/>
          <w:marRight w:val="0"/>
          <w:marTop w:val="0"/>
          <w:marBottom w:val="0"/>
          <w:divBdr>
            <w:top w:val="none" w:sz="0" w:space="0" w:color="auto"/>
            <w:left w:val="none" w:sz="0" w:space="0" w:color="auto"/>
            <w:bottom w:val="none" w:sz="0" w:space="0" w:color="auto"/>
            <w:right w:val="none" w:sz="0" w:space="0" w:color="auto"/>
          </w:divBdr>
          <w:divsChild>
            <w:div w:id="463472738">
              <w:marLeft w:val="0"/>
              <w:marRight w:val="0"/>
              <w:marTop w:val="0"/>
              <w:marBottom w:val="0"/>
              <w:divBdr>
                <w:top w:val="none" w:sz="0" w:space="0" w:color="auto"/>
                <w:left w:val="none" w:sz="0" w:space="0" w:color="auto"/>
                <w:bottom w:val="none" w:sz="0" w:space="0" w:color="auto"/>
                <w:right w:val="none" w:sz="0" w:space="0" w:color="auto"/>
              </w:divBdr>
            </w:div>
          </w:divsChild>
        </w:div>
        <w:div w:id="1112438427">
          <w:marLeft w:val="0"/>
          <w:marRight w:val="0"/>
          <w:marTop w:val="0"/>
          <w:marBottom w:val="0"/>
          <w:divBdr>
            <w:top w:val="none" w:sz="0" w:space="0" w:color="auto"/>
            <w:left w:val="none" w:sz="0" w:space="0" w:color="auto"/>
            <w:bottom w:val="none" w:sz="0" w:space="0" w:color="auto"/>
            <w:right w:val="none" w:sz="0" w:space="0" w:color="auto"/>
          </w:divBdr>
          <w:divsChild>
            <w:div w:id="2147114739">
              <w:marLeft w:val="0"/>
              <w:marRight w:val="0"/>
              <w:marTop w:val="0"/>
              <w:marBottom w:val="0"/>
              <w:divBdr>
                <w:top w:val="none" w:sz="0" w:space="0" w:color="auto"/>
                <w:left w:val="none" w:sz="0" w:space="0" w:color="auto"/>
                <w:bottom w:val="none" w:sz="0" w:space="0" w:color="auto"/>
                <w:right w:val="none" w:sz="0" w:space="0" w:color="auto"/>
              </w:divBdr>
            </w:div>
          </w:divsChild>
        </w:div>
        <w:div w:id="2087148770">
          <w:marLeft w:val="0"/>
          <w:marRight w:val="0"/>
          <w:marTop w:val="0"/>
          <w:marBottom w:val="0"/>
          <w:divBdr>
            <w:top w:val="none" w:sz="0" w:space="0" w:color="auto"/>
            <w:left w:val="none" w:sz="0" w:space="0" w:color="auto"/>
            <w:bottom w:val="none" w:sz="0" w:space="0" w:color="auto"/>
            <w:right w:val="none" w:sz="0" w:space="0" w:color="auto"/>
          </w:divBdr>
          <w:divsChild>
            <w:div w:id="922177866">
              <w:marLeft w:val="0"/>
              <w:marRight w:val="0"/>
              <w:marTop w:val="0"/>
              <w:marBottom w:val="0"/>
              <w:divBdr>
                <w:top w:val="none" w:sz="0" w:space="0" w:color="auto"/>
                <w:left w:val="none" w:sz="0" w:space="0" w:color="auto"/>
                <w:bottom w:val="none" w:sz="0" w:space="0" w:color="auto"/>
                <w:right w:val="none" w:sz="0" w:space="0" w:color="auto"/>
              </w:divBdr>
            </w:div>
            <w:div w:id="742142749">
              <w:marLeft w:val="0"/>
              <w:marRight w:val="0"/>
              <w:marTop w:val="0"/>
              <w:marBottom w:val="0"/>
              <w:divBdr>
                <w:top w:val="none" w:sz="0" w:space="0" w:color="auto"/>
                <w:left w:val="none" w:sz="0" w:space="0" w:color="auto"/>
                <w:bottom w:val="none" w:sz="0" w:space="0" w:color="auto"/>
                <w:right w:val="none" w:sz="0" w:space="0" w:color="auto"/>
              </w:divBdr>
            </w:div>
            <w:div w:id="2128770343">
              <w:marLeft w:val="0"/>
              <w:marRight w:val="0"/>
              <w:marTop w:val="0"/>
              <w:marBottom w:val="0"/>
              <w:divBdr>
                <w:top w:val="none" w:sz="0" w:space="0" w:color="auto"/>
                <w:left w:val="none" w:sz="0" w:space="0" w:color="auto"/>
                <w:bottom w:val="none" w:sz="0" w:space="0" w:color="auto"/>
                <w:right w:val="none" w:sz="0" w:space="0" w:color="auto"/>
              </w:divBdr>
            </w:div>
          </w:divsChild>
        </w:div>
        <w:div w:id="535892239">
          <w:marLeft w:val="0"/>
          <w:marRight w:val="0"/>
          <w:marTop w:val="0"/>
          <w:marBottom w:val="0"/>
          <w:divBdr>
            <w:top w:val="none" w:sz="0" w:space="0" w:color="auto"/>
            <w:left w:val="none" w:sz="0" w:space="0" w:color="auto"/>
            <w:bottom w:val="none" w:sz="0" w:space="0" w:color="auto"/>
            <w:right w:val="none" w:sz="0" w:space="0" w:color="auto"/>
          </w:divBdr>
          <w:divsChild>
            <w:div w:id="15264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1026">
      <w:bodyDiv w:val="1"/>
      <w:marLeft w:val="0"/>
      <w:marRight w:val="0"/>
      <w:marTop w:val="0"/>
      <w:marBottom w:val="0"/>
      <w:divBdr>
        <w:top w:val="none" w:sz="0" w:space="0" w:color="auto"/>
        <w:left w:val="none" w:sz="0" w:space="0" w:color="auto"/>
        <w:bottom w:val="none" w:sz="0" w:space="0" w:color="auto"/>
        <w:right w:val="none" w:sz="0" w:space="0" w:color="auto"/>
      </w:divBdr>
    </w:div>
    <w:div w:id="867375866">
      <w:bodyDiv w:val="1"/>
      <w:marLeft w:val="0"/>
      <w:marRight w:val="0"/>
      <w:marTop w:val="0"/>
      <w:marBottom w:val="0"/>
      <w:divBdr>
        <w:top w:val="none" w:sz="0" w:space="0" w:color="auto"/>
        <w:left w:val="none" w:sz="0" w:space="0" w:color="auto"/>
        <w:bottom w:val="none" w:sz="0" w:space="0" w:color="auto"/>
        <w:right w:val="none" w:sz="0" w:space="0" w:color="auto"/>
      </w:divBdr>
    </w:div>
    <w:div w:id="942423613">
      <w:bodyDiv w:val="1"/>
      <w:marLeft w:val="0"/>
      <w:marRight w:val="0"/>
      <w:marTop w:val="0"/>
      <w:marBottom w:val="0"/>
      <w:divBdr>
        <w:top w:val="none" w:sz="0" w:space="0" w:color="auto"/>
        <w:left w:val="none" w:sz="0" w:space="0" w:color="auto"/>
        <w:bottom w:val="none" w:sz="0" w:space="0" w:color="auto"/>
        <w:right w:val="none" w:sz="0" w:space="0" w:color="auto"/>
      </w:divBdr>
    </w:div>
    <w:div w:id="1129472775">
      <w:bodyDiv w:val="1"/>
      <w:marLeft w:val="0"/>
      <w:marRight w:val="0"/>
      <w:marTop w:val="0"/>
      <w:marBottom w:val="0"/>
      <w:divBdr>
        <w:top w:val="none" w:sz="0" w:space="0" w:color="auto"/>
        <w:left w:val="none" w:sz="0" w:space="0" w:color="auto"/>
        <w:bottom w:val="none" w:sz="0" w:space="0" w:color="auto"/>
        <w:right w:val="none" w:sz="0" w:space="0" w:color="auto"/>
      </w:divBdr>
      <w:divsChild>
        <w:div w:id="1170871806">
          <w:marLeft w:val="0"/>
          <w:marRight w:val="0"/>
          <w:marTop w:val="0"/>
          <w:marBottom w:val="0"/>
          <w:divBdr>
            <w:top w:val="none" w:sz="0" w:space="0" w:color="auto"/>
            <w:left w:val="none" w:sz="0" w:space="0" w:color="auto"/>
            <w:bottom w:val="none" w:sz="0" w:space="0" w:color="auto"/>
            <w:right w:val="none" w:sz="0" w:space="0" w:color="auto"/>
          </w:divBdr>
          <w:divsChild>
            <w:div w:id="1352563323">
              <w:marLeft w:val="0"/>
              <w:marRight w:val="0"/>
              <w:marTop w:val="0"/>
              <w:marBottom w:val="0"/>
              <w:divBdr>
                <w:top w:val="none" w:sz="0" w:space="0" w:color="auto"/>
                <w:left w:val="none" w:sz="0" w:space="0" w:color="auto"/>
                <w:bottom w:val="none" w:sz="0" w:space="0" w:color="auto"/>
                <w:right w:val="none" w:sz="0" w:space="0" w:color="auto"/>
              </w:divBdr>
            </w:div>
            <w:div w:id="19849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abbc9e-352e-4fad-9a65-5ad79bf9df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DD8204F332AF49946C6B795A962310" ma:contentTypeVersion="17" ma:contentTypeDescription="Create a new document." ma:contentTypeScope="" ma:versionID="4c543f82e597fda905d4801a2e4fd11f">
  <xsd:schema xmlns:xsd="http://www.w3.org/2001/XMLSchema" xmlns:xs="http://www.w3.org/2001/XMLSchema" xmlns:p="http://schemas.microsoft.com/office/2006/metadata/properties" xmlns:ns3="d7abbc9e-352e-4fad-9a65-5ad79bf9df95" xmlns:ns4="d6bdf134-d721-414f-bdc8-1370b174dbcc" targetNamespace="http://schemas.microsoft.com/office/2006/metadata/properties" ma:root="true" ma:fieldsID="4ee6a9bc716f447f8006111c82dde766" ns3:_="" ns4:_="">
    <xsd:import namespace="d7abbc9e-352e-4fad-9a65-5ad79bf9df95"/>
    <xsd:import namespace="d6bdf134-d721-414f-bdc8-1370b174db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bbc9e-352e-4fad-9a65-5ad79bf9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df134-d721-414f-bdc8-1370b174dbc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CE7D8-BC3E-43E1-AA68-6AD319851D0A}">
  <ds:schemaRefs>
    <ds:schemaRef ds:uri="http://schemas.microsoft.com/sharepoint/v3/contenttype/forms"/>
  </ds:schemaRefs>
</ds:datastoreItem>
</file>

<file path=customXml/itemProps2.xml><?xml version="1.0" encoding="utf-8"?>
<ds:datastoreItem xmlns:ds="http://schemas.openxmlformats.org/officeDocument/2006/customXml" ds:itemID="{D29B22C5-C926-49DC-8816-2308C5616774}">
  <ds:schemaRefs>
    <ds:schemaRef ds:uri="d6bdf134-d721-414f-bdc8-1370b174dbcc"/>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7abbc9e-352e-4fad-9a65-5ad79bf9df95"/>
    <ds:schemaRef ds:uri="http://purl.org/dc/terms/"/>
  </ds:schemaRefs>
</ds:datastoreItem>
</file>

<file path=customXml/itemProps3.xml><?xml version="1.0" encoding="utf-8"?>
<ds:datastoreItem xmlns:ds="http://schemas.openxmlformats.org/officeDocument/2006/customXml" ds:itemID="{399D69B0-EADF-46A6-A3F6-71CC9A8A4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bbc9e-352e-4fad-9a65-5ad79bf9df95"/>
    <ds:schemaRef ds:uri="d6bdf134-d721-414f-bdc8-1370b174d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Peregrine</dc:creator>
  <cp:keywords/>
  <dc:description/>
  <cp:lastModifiedBy>Julie Warburton</cp:lastModifiedBy>
  <cp:revision>2</cp:revision>
  <dcterms:created xsi:type="dcterms:W3CDTF">2024-07-01T17:19:00Z</dcterms:created>
  <dcterms:modified xsi:type="dcterms:W3CDTF">2024-07-01T17:19:00Z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0x01010047DD8204F332AF49946C6B795A962310</vt:lpwstr>
  </property>
</Properties>
</file>